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79.0" w:type="dxa"/>
        <w:jc w:val="left"/>
        <w:tblInd w:w="-338.0" w:type="dxa"/>
        <w:tblLayout w:type="fixed"/>
        <w:tblLook w:val="0000"/>
      </w:tblPr>
      <w:tblGrid>
        <w:gridCol w:w="4276"/>
        <w:gridCol w:w="2859"/>
        <w:gridCol w:w="3544"/>
        <w:tblGridChange w:id="0">
          <w:tblGrid>
            <w:gridCol w:w="4276"/>
            <w:gridCol w:w="2859"/>
            <w:gridCol w:w="3544"/>
          </w:tblGrid>
        </w:tblGridChange>
      </w:tblGrid>
      <w:tr>
        <w:trPr>
          <w:cantSplit w:val="0"/>
          <w:trHeight w:val="1644" w:hRule="atLeast"/>
          <w:tblHeader w:val="0"/>
        </w:trPr>
        <w:tc>
          <w:tcPr/>
          <w:p w:rsidR="00000000" w:rsidDel="00000000" w:rsidP="00000000" w:rsidRDefault="00000000" w:rsidRPr="00000000" w14:paraId="00000002">
            <w:pPr>
              <w:jc w:val="center"/>
              <w:rPr>
                <w:sz w:val="18"/>
                <w:szCs w:val="18"/>
              </w:rPr>
            </w:pPr>
            <w:r w:rsidDel="00000000" w:rsidR="00000000" w:rsidRPr="00000000">
              <w:rPr>
                <w:rtl w:val="0"/>
              </w:rPr>
            </w:r>
          </w:p>
          <w:p w:rsidR="00000000" w:rsidDel="00000000" w:rsidP="00000000" w:rsidRDefault="00000000" w:rsidRPr="00000000" w14:paraId="00000003">
            <w:pPr>
              <w:jc w:val="center"/>
              <w:rPr>
                <w:sz w:val="18"/>
                <w:szCs w:val="18"/>
              </w:rPr>
            </w:pPr>
            <w:r w:rsidDel="00000000" w:rsidR="00000000" w:rsidRPr="00000000">
              <w:rPr>
                <w:rtl w:val="0"/>
              </w:rPr>
            </w:r>
          </w:p>
          <w:p w:rsidR="00000000" w:rsidDel="00000000" w:rsidP="00000000" w:rsidRDefault="00000000" w:rsidRPr="00000000" w14:paraId="00000004">
            <w:pPr>
              <w:jc w:val="center"/>
              <w:rPr>
                <w:sz w:val="18"/>
                <w:szCs w:val="18"/>
              </w:rPr>
            </w:pPr>
            <w:r w:rsidDel="00000000" w:rsidR="00000000" w:rsidRPr="00000000">
              <w:rPr>
                <w:rtl w:val="0"/>
              </w:rPr>
            </w:r>
          </w:p>
          <w:p w:rsidR="00000000" w:rsidDel="00000000" w:rsidP="00000000" w:rsidRDefault="00000000" w:rsidRPr="00000000" w14:paraId="00000005">
            <w:pPr>
              <w:jc w:val="center"/>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1069975</wp:posOffset>
                  </wp:positionH>
                  <wp:positionV relativeFrom="paragraph">
                    <wp:posOffset>73025</wp:posOffset>
                  </wp:positionV>
                  <wp:extent cx="457200" cy="4381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200" cy="438150"/>
                          </a:xfrm>
                          <a:prstGeom prst="rect"/>
                          <a:ln/>
                        </pic:spPr>
                      </pic:pic>
                    </a:graphicData>
                  </a:graphic>
                </wp:anchor>
              </w:drawing>
            </w:r>
          </w:p>
          <w:p w:rsidR="00000000" w:rsidDel="00000000" w:rsidP="00000000" w:rsidRDefault="00000000" w:rsidRPr="00000000" w14:paraId="00000006">
            <w:pPr>
              <w:jc w:val="center"/>
              <w:rPr>
                <w:sz w:val="18"/>
                <w:szCs w:val="18"/>
              </w:rPr>
            </w:pPr>
            <w:r w:rsidDel="00000000" w:rsidR="00000000" w:rsidRPr="00000000">
              <w:rPr>
                <w:rtl w:val="0"/>
              </w:rPr>
            </w:r>
          </w:p>
          <w:p w:rsidR="00000000" w:rsidDel="00000000" w:rsidP="00000000" w:rsidRDefault="00000000" w:rsidRPr="00000000" w14:paraId="00000007">
            <w:pPr>
              <w:jc w:val="center"/>
              <w:rPr>
                <w:sz w:val="18"/>
                <w:szCs w:val="18"/>
              </w:rPr>
            </w:pPr>
            <w:r w:rsidDel="00000000" w:rsidR="00000000" w:rsidRPr="00000000">
              <w:rPr>
                <w:rtl w:val="0"/>
              </w:rPr>
            </w:r>
          </w:p>
          <w:p w:rsidR="00000000" w:rsidDel="00000000" w:rsidP="00000000" w:rsidRDefault="00000000" w:rsidRPr="00000000" w14:paraId="00000008">
            <w:pPr>
              <w:jc w:val="center"/>
              <w:rPr>
                <w:sz w:val="18"/>
                <w:szCs w:val="18"/>
              </w:rPr>
            </w:pPr>
            <w:r w:rsidDel="00000000" w:rsidR="00000000" w:rsidRPr="00000000">
              <w:rPr>
                <w:rtl w:val="0"/>
              </w:rPr>
            </w:r>
          </w:p>
          <w:p w:rsidR="00000000" w:rsidDel="00000000" w:rsidP="00000000" w:rsidRDefault="00000000" w:rsidRPr="00000000" w14:paraId="00000009">
            <w:pPr>
              <w:jc w:val="center"/>
              <w:rPr>
                <w:sz w:val="18"/>
                <w:szCs w:val="18"/>
              </w:rPr>
            </w:pPr>
            <w:r w:rsidDel="00000000" w:rsidR="00000000" w:rsidRPr="00000000">
              <w:rPr>
                <w:sz w:val="18"/>
                <w:szCs w:val="18"/>
                <w:rtl w:val="0"/>
              </w:rPr>
              <w:t xml:space="preserve">ΕΛΛΗΝΙΚΗ ΔΗΜΟΚΡΑΤΙΑ</w:t>
            </w:r>
          </w:p>
        </w:tc>
        <w:tc>
          <w:tcPr/>
          <w:p w:rsidR="00000000" w:rsidDel="00000000" w:rsidP="00000000" w:rsidRDefault="00000000" w:rsidRPr="00000000" w14:paraId="0000000A">
            <w:pPr>
              <w:jc w:val="right"/>
              <w:rPr>
                <w:sz w:val="20"/>
                <w:szCs w:val="20"/>
              </w:rPr>
            </w:pPr>
            <w:r w:rsidDel="00000000" w:rsidR="00000000" w:rsidRPr="00000000">
              <w:rPr>
                <w:rtl w:val="0"/>
              </w:rPr>
            </w:r>
          </w:p>
        </w:tc>
        <w:tc>
          <w:tcPr/>
          <w:p w:rsidR="00000000" w:rsidDel="00000000" w:rsidP="00000000" w:rsidRDefault="00000000" w:rsidRPr="00000000" w14:paraId="0000000B">
            <w:pPr>
              <w:pStyle w:val="Heading2"/>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0C">
            <w:pPr>
              <w:pStyle w:val="Heading2"/>
              <w:jc w:val="left"/>
              <w:rPr>
                <w:rFonts w:ascii="Arial" w:cs="Arial" w:eastAsia="Arial" w:hAnsi="Arial"/>
                <w:b w:val="0"/>
                <w:sz w:val="30"/>
                <w:szCs w:val="30"/>
                <w:vertAlign w:val="subscript"/>
              </w:rPr>
            </w:pPr>
            <w:r w:rsidDel="00000000" w:rsidR="00000000" w:rsidRPr="00000000">
              <w:rPr>
                <w:rtl w:val="0"/>
              </w:rPr>
            </w:r>
          </w:p>
          <w:p w:rsidR="00000000" w:rsidDel="00000000" w:rsidP="00000000" w:rsidRDefault="00000000" w:rsidRPr="00000000" w14:paraId="0000000D">
            <w:pPr>
              <w:pStyle w:val="Heading2"/>
              <w:ind w:left="-1082" w:firstLine="1082"/>
              <w:jc w:val="left"/>
              <w:rPr>
                <w:rFonts w:ascii="Arial" w:cs="Arial" w:eastAsia="Arial" w:hAnsi="Arial"/>
                <w:sz w:val="30"/>
                <w:szCs w:val="30"/>
                <w:vertAlign w:val="subscript"/>
              </w:rPr>
            </w:pPr>
            <w:r w:rsidDel="00000000" w:rsidR="00000000" w:rsidRPr="00000000">
              <w:rPr>
                <w:rFonts w:ascii="Arial" w:cs="Arial" w:eastAsia="Arial" w:hAnsi="Arial"/>
                <w:sz w:val="30"/>
                <w:szCs w:val="30"/>
                <w:vertAlign w:val="subscript"/>
                <w:rtl w:val="0"/>
              </w:rPr>
              <w:t xml:space="preserve">ΑΝΑΡΤΗΤΕΟ ΣΤΟ ΔΙΑΔΙΚΤΥΟ</w:t>
            </w:r>
          </w:p>
          <w:p w:rsidR="00000000" w:rsidDel="00000000" w:rsidP="00000000" w:rsidRDefault="00000000" w:rsidRPr="00000000" w14:paraId="0000000E">
            <w:pPr>
              <w:pStyle w:val="Heading2"/>
              <w:jc w:val="left"/>
              <w:rPr>
                <w:rFonts w:ascii="Arial" w:cs="Arial" w:eastAsia="Arial" w:hAnsi="Arial"/>
                <w:b w:val="0"/>
                <w:sz w:val="30"/>
                <w:szCs w:val="30"/>
                <w:vertAlign w:val="subscript"/>
              </w:rPr>
            </w:pPr>
            <w:r w:rsidDel="00000000" w:rsidR="00000000" w:rsidRPr="00000000">
              <w:rPr>
                <w:rtl w:val="0"/>
              </w:rPr>
            </w:r>
          </w:p>
          <w:p w:rsidR="00000000" w:rsidDel="00000000" w:rsidP="00000000" w:rsidRDefault="00000000" w:rsidRPr="00000000" w14:paraId="0000000F">
            <w:pPr>
              <w:pStyle w:val="Heading2"/>
              <w:jc w:val="left"/>
              <w:rPr>
                <w:rFonts w:ascii="Arial" w:cs="Arial" w:eastAsia="Arial" w:hAnsi="Arial"/>
                <w:b w:val="0"/>
                <w:sz w:val="30"/>
                <w:szCs w:val="30"/>
                <w:vertAlign w:val="subscript"/>
              </w:rPr>
            </w:pPr>
            <w:r w:rsidDel="00000000" w:rsidR="00000000" w:rsidRPr="00000000">
              <w:rPr>
                <w:rtl w:val="0"/>
              </w:rPr>
            </w:r>
          </w:p>
          <w:p w:rsidR="00000000" w:rsidDel="00000000" w:rsidP="00000000" w:rsidRDefault="00000000" w:rsidRPr="00000000" w14:paraId="00000010">
            <w:pPr>
              <w:pStyle w:val="Heading2"/>
              <w:jc w:val="left"/>
              <w:rPr>
                <w:rFonts w:ascii="Arial" w:cs="Arial" w:eastAsia="Arial" w:hAnsi="Arial"/>
                <w:b w:val="0"/>
                <w:sz w:val="30"/>
                <w:szCs w:val="30"/>
                <w:vertAlign w:val="subscript"/>
              </w:rPr>
            </w:pPr>
            <w:r w:rsidDel="00000000" w:rsidR="00000000" w:rsidRPr="00000000">
              <w:rPr>
                <w:rtl w:val="0"/>
              </w:rPr>
            </w:r>
          </w:p>
          <w:p w:rsidR="00000000" w:rsidDel="00000000" w:rsidP="00000000" w:rsidRDefault="00000000" w:rsidRPr="00000000" w14:paraId="00000011">
            <w:pPr>
              <w:pStyle w:val="Heading2"/>
              <w:jc w:val="left"/>
              <w:rPr>
                <w:rFonts w:ascii="Arial" w:cs="Arial" w:eastAsia="Arial" w:hAnsi="Arial"/>
                <w:b w:val="0"/>
                <w:sz w:val="30"/>
                <w:szCs w:val="30"/>
                <w:vertAlign w:val="subscript"/>
              </w:rPr>
            </w:pPr>
            <w:r w:rsidDel="00000000" w:rsidR="00000000" w:rsidRPr="00000000">
              <w:rPr>
                <w:rtl w:val="0"/>
              </w:rPr>
            </w:r>
          </w:p>
          <w:p w:rsidR="00000000" w:rsidDel="00000000" w:rsidP="00000000" w:rsidRDefault="00000000" w:rsidRPr="00000000" w14:paraId="00000012">
            <w:pPr>
              <w:pStyle w:val="Heading2"/>
              <w:jc w:val="left"/>
              <w:rPr>
                <w:rFonts w:ascii="Arial" w:cs="Arial" w:eastAsia="Arial" w:hAnsi="Arial"/>
                <w:b w:val="0"/>
                <w:sz w:val="30"/>
                <w:szCs w:val="30"/>
                <w:vertAlign w:val="subscript"/>
              </w:rPr>
            </w:pPr>
            <w:r w:rsidDel="00000000" w:rsidR="00000000" w:rsidRPr="00000000">
              <w:rPr>
                <w:rFonts w:ascii="Arial" w:cs="Arial" w:eastAsia="Arial" w:hAnsi="Arial"/>
                <w:b w:val="0"/>
                <w:sz w:val="30"/>
                <w:szCs w:val="30"/>
                <w:vertAlign w:val="subscript"/>
                <w:rtl w:val="0"/>
              </w:rPr>
              <w:t xml:space="preserve">Αρ. Πρωτ.: Φ23/10</w:t>
            </w:r>
          </w:p>
          <w:p w:rsidR="00000000" w:rsidDel="00000000" w:rsidP="00000000" w:rsidRDefault="00000000" w:rsidRPr="00000000" w14:paraId="00000013">
            <w:pPr>
              <w:rPr>
                <w:sz w:val="18"/>
                <w:szCs w:val="18"/>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14">
            <w:pPr>
              <w:jc w:val="center"/>
              <w:rPr>
                <w:sz w:val="18"/>
                <w:szCs w:val="18"/>
              </w:rPr>
            </w:pPr>
            <w:r w:rsidDel="00000000" w:rsidR="00000000" w:rsidRPr="00000000">
              <w:rPr>
                <w:sz w:val="18"/>
                <w:szCs w:val="18"/>
                <w:rtl w:val="0"/>
              </w:rPr>
              <w:t xml:space="preserve">ΥΠΟΥΡΓΕΙΟ ΠΑΙΔΕΙΑΣ ΚΑΙ ΘΡΗΣΚΕΥΜΑΤΩΝ</w:t>
            </w:r>
          </w:p>
          <w:p w:rsidR="00000000" w:rsidDel="00000000" w:rsidP="00000000" w:rsidRDefault="00000000" w:rsidRPr="00000000" w14:paraId="00000015">
            <w:pPr>
              <w:jc w:val="center"/>
              <w:rPr>
                <w:sz w:val="18"/>
                <w:szCs w:val="18"/>
              </w:rPr>
            </w:pPr>
            <w:r w:rsidDel="00000000" w:rsidR="00000000" w:rsidRPr="00000000">
              <w:rPr>
                <w:sz w:val="18"/>
                <w:szCs w:val="18"/>
                <w:rtl w:val="0"/>
              </w:rPr>
              <w:t xml:space="preserve">ΠΟΛΙΤΙΣΜΟΥ ΚΑΙ ΑΘΛΗΤΙΣΜΟΥ</w:t>
            </w:r>
          </w:p>
        </w:tc>
        <w:tc>
          <w:tcPr>
            <w:vMerge w:val="restart"/>
          </w:tcPr>
          <w:p w:rsidR="00000000" w:rsidDel="00000000" w:rsidP="00000000" w:rsidRDefault="00000000" w:rsidRPr="00000000" w14:paraId="00000016">
            <w:pPr>
              <w:ind w:right="0"/>
              <w:jc w:val="both"/>
              <w:rPr>
                <w:sz w:val="20"/>
                <w:szCs w:val="20"/>
              </w:rPr>
            </w:pPr>
            <w:r w:rsidDel="00000000" w:rsidR="00000000" w:rsidRPr="00000000">
              <w:rPr>
                <w:rtl w:val="0"/>
              </w:rPr>
            </w:r>
          </w:p>
        </w:tc>
        <w:tc>
          <w:tcPr>
            <w:vMerge w:val="restart"/>
          </w:tcPr>
          <w:p w:rsidR="00000000" w:rsidDel="00000000" w:rsidP="00000000" w:rsidRDefault="00000000" w:rsidRPr="00000000" w14:paraId="00000017">
            <w:pPr>
              <w:rPr>
                <w:sz w:val="30"/>
                <w:szCs w:val="30"/>
                <w:vertAlign w:val="subscript"/>
              </w:rPr>
            </w:pPr>
            <w:r w:rsidDel="00000000" w:rsidR="00000000" w:rsidRPr="00000000">
              <w:rPr>
                <w:rtl w:val="0"/>
              </w:rPr>
            </w:r>
          </w:p>
          <w:p w:rsidR="00000000" w:rsidDel="00000000" w:rsidP="00000000" w:rsidRDefault="00000000" w:rsidRPr="00000000" w14:paraId="00000018">
            <w:pPr>
              <w:rPr>
                <w:sz w:val="30"/>
                <w:szCs w:val="30"/>
                <w:vertAlign w:val="subscript"/>
              </w:rPr>
            </w:pPr>
            <w:r w:rsidDel="00000000" w:rsidR="00000000" w:rsidRPr="00000000">
              <w:rPr>
                <w:rtl w:val="0"/>
              </w:rPr>
            </w:r>
          </w:p>
          <w:p w:rsidR="00000000" w:rsidDel="00000000" w:rsidP="00000000" w:rsidRDefault="00000000" w:rsidRPr="00000000" w14:paraId="00000019">
            <w:pPr>
              <w:rPr>
                <w:sz w:val="30"/>
                <w:szCs w:val="30"/>
                <w:vertAlign w:val="subscript"/>
              </w:rPr>
            </w:pPr>
            <w:r w:rsidDel="00000000" w:rsidR="00000000" w:rsidRPr="00000000">
              <w:rPr>
                <w:sz w:val="30"/>
                <w:szCs w:val="30"/>
                <w:vertAlign w:val="subscript"/>
                <w:rtl w:val="0"/>
              </w:rPr>
              <w:t xml:space="preserve">Μεσοποταμία 02-02-2024</w:t>
            </w:r>
          </w:p>
          <w:p w:rsidR="00000000" w:rsidDel="00000000" w:rsidP="00000000" w:rsidRDefault="00000000" w:rsidRPr="00000000" w14:paraId="0000001A">
            <w:pPr>
              <w:ind w:right="0"/>
              <w:jc w:val="both"/>
              <w:rPr>
                <w:sz w:val="18"/>
                <w:szCs w:val="18"/>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01B">
            <w:pPr>
              <w:jc w:val="center"/>
              <w:rPr>
                <w:sz w:val="18"/>
                <w:szCs w:val="18"/>
              </w:rPr>
            </w:pPr>
            <w:r w:rsidDel="00000000" w:rsidR="00000000" w:rsidRPr="00000000">
              <w:rPr>
                <w:sz w:val="18"/>
                <w:szCs w:val="18"/>
                <w:rtl w:val="0"/>
              </w:rPr>
              <w:t xml:space="preserve">ΠΕΡ.Δ/ΝΣΗ Π.&amp;Δ. ΕΚΠ/ΣΗΣ ΔΥΤ. ΜΑΚΕΔΟΝΙΑΣ</w:t>
            </w:r>
          </w:p>
          <w:p w:rsidR="00000000" w:rsidDel="00000000" w:rsidP="00000000" w:rsidRDefault="00000000" w:rsidRPr="00000000" w14:paraId="0000001C">
            <w:pPr>
              <w:rPr>
                <w:sz w:val="18"/>
                <w:szCs w:val="18"/>
              </w:rPr>
            </w:pPr>
            <w:r w:rsidDel="00000000" w:rsidR="00000000" w:rsidRPr="00000000">
              <w:rPr>
                <w:rtl w:val="0"/>
              </w:rPr>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01F">
            <w:pPr>
              <w:jc w:val="center"/>
              <w:rPr>
                <w:sz w:val="18"/>
                <w:szCs w:val="18"/>
              </w:rPr>
            </w:pPr>
            <w:r w:rsidDel="00000000" w:rsidR="00000000" w:rsidRPr="00000000">
              <w:rPr>
                <w:sz w:val="18"/>
                <w:szCs w:val="18"/>
                <w:rtl w:val="0"/>
              </w:rPr>
              <w:t xml:space="preserve">Δ/ΝΣΗ Δ/ΘΜΙΑΣ ΕΚΠΑΙΔΕΥΣΗΣ ΚΑΣΤΟΡΙΑΣ</w:t>
            </w:r>
          </w:p>
        </w:tc>
        <w:tc>
          <w:tcPr>
            <w:vMerge w:val="restart"/>
          </w:tcPr>
          <w:p w:rsidR="00000000" w:rsidDel="00000000" w:rsidP="00000000" w:rsidRDefault="00000000" w:rsidRPr="00000000" w14:paraId="00000020">
            <w:pPr>
              <w:jc w:val="right"/>
              <w:rPr>
                <w:sz w:val="30"/>
                <w:szCs w:val="30"/>
                <w:vertAlign w:val="subscript"/>
              </w:rPr>
            </w:pPr>
            <w:r w:rsidDel="00000000" w:rsidR="00000000" w:rsidRPr="00000000">
              <w:rPr>
                <w:rtl w:val="0"/>
              </w:rPr>
            </w:r>
          </w:p>
          <w:p w:rsidR="00000000" w:rsidDel="00000000" w:rsidP="00000000" w:rsidRDefault="00000000" w:rsidRPr="00000000" w14:paraId="00000021">
            <w:pPr>
              <w:jc w:val="right"/>
              <w:rPr>
                <w:sz w:val="18"/>
                <w:szCs w:val="18"/>
              </w:rPr>
            </w:pPr>
            <w:r w:rsidDel="00000000" w:rsidR="00000000" w:rsidRPr="00000000">
              <w:rPr>
                <w:sz w:val="30"/>
                <w:szCs w:val="30"/>
                <w:vertAlign w:val="subscript"/>
                <w:rtl w:val="0"/>
              </w:rPr>
              <w:t xml:space="preserve">ΠΡΟΣ</w:t>
            </w:r>
            <w:r w:rsidDel="00000000" w:rsidR="00000000" w:rsidRPr="00000000">
              <w:rPr>
                <w:sz w:val="18"/>
                <w:szCs w:val="18"/>
                <w:rtl w:val="0"/>
              </w:rPr>
              <w:t xml:space="preserve">:</w:t>
            </w:r>
          </w:p>
        </w:tc>
        <w:tc>
          <w:tcPr>
            <w:vMerge w:val="restart"/>
          </w:tcPr>
          <w:p w:rsidR="00000000" w:rsidDel="00000000" w:rsidP="00000000" w:rsidRDefault="00000000" w:rsidRPr="00000000" w14:paraId="00000022">
            <w:pPr>
              <w:jc w:val="center"/>
              <w:rPr>
                <w:sz w:val="18"/>
                <w:szCs w:val="18"/>
              </w:rPr>
            </w:pPr>
            <w:r w:rsidDel="00000000" w:rsidR="00000000" w:rsidRPr="00000000">
              <w:rPr>
                <w:rtl w:val="0"/>
              </w:rPr>
            </w:r>
          </w:p>
          <w:p w:rsidR="00000000" w:rsidDel="00000000" w:rsidP="00000000" w:rsidRDefault="00000000" w:rsidRPr="00000000" w14:paraId="00000023">
            <w:pPr>
              <w:pStyle w:val="Heading6"/>
              <w:rPr>
                <w:b w:val="0"/>
                <w:sz w:val="30"/>
                <w:szCs w:val="30"/>
                <w:vertAlign w:val="subscript"/>
              </w:rPr>
            </w:pPr>
            <w:r w:rsidDel="00000000" w:rsidR="00000000" w:rsidRPr="00000000">
              <w:rPr>
                <w:b w:val="0"/>
                <w:sz w:val="30"/>
                <w:szCs w:val="30"/>
                <w:vertAlign w:val="subscript"/>
                <w:rtl w:val="0"/>
              </w:rPr>
              <w:t xml:space="preserve">Δ.Δ.Ε. Καστοριάς</w:t>
            </w:r>
          </w:p>
        </w:tc>
      </w:tr>
      <w:tr>
        <w:trPr>
          <w:cantSplit w:val="0"/>
          <w:trHeight w:val="340" w:hRule="atLeast"/>
          <w:tblHeader w:val="0"/>
        </w:trPr>
        <w:tc>
          <w:tcPr>
            <w:vAlign w:val="center"/>
          </w:tcPr>
          <w:p w:rsidR="00000000" w:rsidDel="00000000" w:rsidP="00000000" w:rsidRDefault="00000000" w:rsidRPr="00000000" w14:paraId="00000024">
            <w:pPr>
              <w:jc w:val="center"/>
              <w:rPr>
                <w:b w:val="1"/>
                <w:sz w:val="18"/>
                <w:szCs w:val="18"/>
              </w:rPr>
            </w:pPr>
            <w:r w:rsidDel="00000000" w:rsidR="00000000" w:rsidRPr="00000000">
              <w:rPr>
                <w:b w:val="1"/>
                <w:sz w:val="18"/>
                <w:szCs w:val="18"/>
                <w:rtl w:val="0"/>
              </w:rPr>
              <w:t xml:space="preserve">ΓΕΝΙΚΟ ΛΥΚΕΙΟ ΜΕΣΟΠΟΤΑΜΙΑΣ</w:t>
            </w:r>
          </w:p>
        </w:tc>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689" w:hRule="atLeast"/>
          <w:tblHeader w:val="0"/>
        </w:trPr>
        <w:tc>
          <w:tcPr/>
          <w:p w:rsidR="00000000" w:rsidDel="00000000" w:rsidP="00000000" w:rsidRDefault="00000000" w:rsidRPr="00000000" w14:paraId="00000027">
            <w:pPr>
              <w:jc w:val="center"/>
              <w:rPr>
                <w:sz w:val="18"/>
                <w:szCs w:val="18"/>
              </w:rPr>
            </w:pPr>
            <w:r w:rsidDel="00000000" w:rsidR="00000000" w:rsidRPr="00000000">
              <w:rPr>
                <w:sz w:val="18"/>
                <w:szCs w:val="18"/>
                <w:rtl w:val="0"/>
              </w:rPr>
              <w:t xml:space="preserve">Τηλ. - Fax : 24670 61194</w:t>
            </w:r>
          </w:p>
          <w:p w:rsidR="00000000" w:rsidDel="00000000" w:rsidP="00000000" w:rsidRDefault="00000000" w:rsidRPr="00000000" w14:paraId="00000028">
            <w:pPr>
              <w:jc w:val="center"/>
              <w:rPr>
                <w:sz w:val="18"/>
                <w:szCs w:val="18"/>
              </w:rPr>
            </w:pPr>
            <w:r w:rsidDel="00000000" w:rsidR="00000000" w:rsidRPr="00000000">
              <w:rPr>
                <w:sz w:val="18"/>
                <w:szCs w:val="18"/>
                <w:rtl w:val="0"/>
              </w:rPr>
              <w:t xml:space="preserve">52050 Μεσοποταμία</w:t>
            </w:r>
          </w:p>
          <w:p w:rsidR="00000000" w:rsidDel="00000000" w:rsidP="00000000" w:rsidRDefault="00000000" w:rsidRPr="00000000" w14:paraId="00000029">
            <w:pPr>
              <w:jc w:val="center"/>
              <w:rPr>
                <w:sz w:val="18"/>
                <w:szCs w:val="18"/>
              </w:rPr>
            </w:pPr>
            <w:r w:rsidDel="00000000" w:rsidR="00000000" w:rsidRPr="00000000">
              <w:rPr>
                <w:sz w:val="18"/>
                <w:szCs w:val="18"/>
                <w:rtl w:val="0"/>
              </w:rPr>
              <w:t xml:space="preserve">e-mail:   mail@lyk-mesop.kas.sch.gr</w:t>
            </w:r>
          </w:p>
          <w:p w:rsidR="00000000" w:rsidDel="00000000" w:rsidP="00000000" w:rsidRDefault="00000000" w:rsidRPr="00000000" w14:paraId="0000002A">
            <w:pPr>
              <w:jc w:val="center"/>
              <w:rPr>
                <w:b w:val="1"/>
                <w:sz w:val="18"/>
                <w:szCs w:val="18"/>
              </w:rPr>
            </w:pPr>
            <w:r w:rsidDel="00000000" w:rsidR="00000000" w:rsidRPr="00000000">
              <w:rPr>
                <w:rtl w:val="0"/>
              </w:rPr>
            </w:r>
          </w:p>
        </w:tc>
        <w:tc>
          <w:tcPr/>
          <w:p w:rsidR="00000000" w:rsidDel="00000000" w:rsidP="00000000" w:rsidRDefault="00000000" w:rsidRPr="00000000" w14:paraId="0000002B">
            <w:pPr>
              <w:ind w:right="0"/>
              <w:jc w:val="right"/>
              <w:rPr>
                <w:sz w:val="18"/>
                <w:szCs w:val="18"/>
              </w:rPr>
            </w:pPr>
            <w:r w:rsidDel="00000000" w:rsidR="00000000" w:rsidRPr="00000000">
              <w:rPr>
                <w:rtl w:val="0"/>
              </w:rPr>
            </w:r>
          </w:p>
          <w:p w:rsidR="00000000" w:rsidDel="00000000" w:rsidP="00000000" w:rsidRDefault="00000000" w:rsidRPr="00000000" w14:paraId="0000002C">
            <w:pPr>
              <w:ind w:right="0"/>
              <w:jc w:val="right"/>
              <w:rPr>
                <w:sz w:val="30"/>
                <w:szCs w:val="30"/>
                <w:vertAlign w:val="subscript"/>
              </w:rPr>
            </w:pPr>
            <w:r w:rsidDel="00000000" w:rsidR="00000000" w:rsidRPr="00000000">
              <w:rPr>
                <w:sz w:val="30"/>
                <w:szCs w:val="30"/>
                <w:vertAlign w:val="subscript"/>
                <w:rtl w:val="0"/>
              </w:rPr>
              <w:t xml:space="preserve">ΚΟΙΝ.:</w:t>
            </w:r>
          </w:p>
        </w:tc>
        <w:tc>
          <w:tcPr/>
          <w:p w:rsidR="00000000" w:rsidDel="00000000" w:rsidP="00000000" w:rsidRDefault="00000000" w:rsidRPr="00000000" w14:paraId="0000002D">
            <w:pPr>
              <w:pStyle w:val="Heading1"/>
              <w:rPr>
                <w:b w:val="0"/>
                <w:sz w:val="18"/>
                <w:szCs w:val="18"/>
              </w:rPr>
            </w:pPr>
            <w:r w:rsidDel="00000000" w:rsidR="00000000" w:rsidRPr="00000000">
              <w:rPr>
                <w:rtl w:val="0"/>
              </w:rPr>
            </w:r>
          </w:p>
          <w:p w:rsidR="00000000" w:rsidDel="00000000" w:rsidP="00000000" w:rsidRDefault="00000000" w:rsidRPr="00000000" w14:paraId="0000002E">
            <w:pPr>
              <w:ind w:right="0"/>
              <w:rPr>
                <w:sz w:val="18"/>
                <w:szCs w:val="18"/>
              </w:rPr>
            </w:pPr>
            <w:r w:rsidDel="00000000" w:rsidR="00000000" w:rsidRPr="00000000">
              <w:rPr>
                <w:rtl w:val="0"/>
              </w:rPr>
            </w:r>
          </w:p>
        </w:tc>
      </w:tr>
    </w:tbl>
    <w:p w:rsidR="00000000" w:rsidDel="00000000" w:rsidP="00000000" w:rsidRDefault="00000000" w:rsidRPr="00000000" w14:paraId="0000002F">
      <w:pPr>
        <w:ind w:right="0"/>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sz w:val="22"/>
          <w:szCs w:val="22"/>
          <w:rtl w:val="0"/>
        </w:rPr>
        <w:t xml:space="preserve">ΘΕΜΑ  : </w:t>
      </w:r>
      <w:r w:rsidDel="00000000" w:rsidR="00000000" w:rsidRPr="00000000">
        <w:rPr>
          <w:b w:val="1"/>
          <w:i w:val="1"/>
          <w:sz w:val="22"/>
          <w:szCs w:val="22"/>
          <w:rtl w:val="0"/>
        </w:rPr>
        <w:t xml:space="preserve">Πρόσκληση εκδήλωσης ενδιαφέροντος για κατάθεση οικονομικής προσφοράς για 4/ήμερη εκπαιδευτική επίσκεψη στο Ναύπλιο.</w:t>
      </w:r>
      <w:r w:rsidDel="00000000" w:rsidR="00000000" w:rsidRPr="00000000">
        <w:rPr>
          <w:rtl w:val="0"/>
        </w:rPr>
      </w:r>
    </w:p>
    <w:p w:rsidR="00000000" w:rsidDel="00000000" w:rsidP="00000000" w:rsidRDefault="00000000" w:rsidRPr="00000000" w14:paraId="00000031">
      <w:pPr>
        <w:rPr>
          <w:rFonts w:ascii="Verdana" w:cs="Verdana" w:eastAsia="Verdana" w:hAnsi="Verdana"/>
          <w:sz w:val="20"/>
          <w:szCs w:val="20"/>
        </w:rPr>
      </w:pPr>
      <w:r w:rsidDel="00000000" w:rsidR="00000000" w:rsidRPr="00000000">
        <w:rPr>
          <w:b w:val="1"/>
          <w:sz w:val="22"/>
          <w:szCs w:val="22"/>
          <w:rtl w:val="0"/>
        </w:rPr>
        <w:t xml:space="preserve">ΣΧΕΤ.   : Υ.Α. 20883/ΓΔ4/12-02-2020 (ΦΕΚ 456/τ.Β΄/13-02-2020)</w:t>
      </w:r>
      <w:r w:rsidDel="00000000" w:rsidR="00000000" w:rsidRPr="00000000">
        <w:rPr>
          <w:i w:val="1"/>
          <w:sz w:val="20"/>
          <w:szCs w:val="20"/>
          <w:rtl w:val="0"/>
        </w:rPr>
        <w:t xml:space="preserve"> με θέμα «Εκδρομές – Εκπαιδευτικές Επισκέψεις μαθητών και μαθητριών Δημόσιων και Ιδιωτικών σχολείων Δευτεροβάθμιας Εκπαίδευσης εντός και εκτός της χώρας»</w:t>
      </w: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ΠΡΟΣΚΑΛΟΥΜΕ</w:t>
      </w:r>
    </w:p>
    <w:p w:rsidR="00000000" w:rsidDel="00000000" w:rsidP="00000000" w:rsidRDefault="00000000" w:rsidRPr="00000000" w14:paraId="00000033">
      <w:pPr>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34">
      <w:pPr>
        <w:ind w:left="5760"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sz w:val="22"/>
          <w:szCs w:val="22"/>
        </w:rPr>
      </w:pPr>
      <w:r w:rsidDel="00000000" w:rsidR="00000000" w:rsidRPr="00000000">
        <w:rPr>
          <w:sz w:val="22"/>
          <w:szCs w:val="22"/>
          <w:rtl w:val="0"/>
        </w:rPr>
        <w:t xml:space="preserve">Τα Γραφεία Γενικού Τουρισμού με ειδικό σήμα και άδεια λειτουργίας από τον ΕΟΤ σε ισχύ να καταθέσουν στο Γενικό Λύκειο Μεσοποταμίας σφραγισμένη προσφορά συνοδευόμενη από τα προβλεπόμενα  πιστοποιητικά μέχρι τη </w:t>
      </w:r>
      <w:r w:rsidDel="00000000" w:rsidR="00000000" w:rsidRPr="00000000">
        <w:rPr>
          <w:b w:val="1"/>
          <w:sz w:val="22"/>
          <w:szCs w:val="22"/>
          <w:rtl w:val="0"/>
        </w:rPr>
        <w:t xml:space="preserve">Δευτέρα 12 Φεβρουαρίου 2024</w:t>
      </w:r>
      <w:r w:rsidDel="00000000" w:rsidR="00000000" w:rsidRPr="00000000">
        <w:rPr>
          <w:sz w:val="22"/>
          <w:szCs w:val="22"/>
          <w:rtl w:val="0"/>
        </w:rPr>
        <w:t xml:space="preserve"> και ώρα </w:t>
      </w:r>
      <w:r w:rsidDel="00000000" w:rsidR="00000000" w:rsidRPr="00000000">
        <w:rPr>
          <w:b w:val="1"/>
          <w:sz w:val="22"/>
          <w:szCs w:val="22"/>
          <w:rtl w:val="0"/>
        </w:rPr>
        <w:t xml:space="preserve">12:30</w:t>
      </w:r>
      <w:r w:rsidDel="00000000" w:rsidR="00000000" w:rsidRPr="00000000">
        <w:rPr>
          <w:sz w:val="22"/>
          <w:szCs w:val="22"/>
          <w:rtl w:val="0"/>
        </w:rPr>
        <w:t xml:space="preserve"> μ.μ.</w:t>
      </w:r>
    </w:p>
    <w:p w:rsidR="00000000" w:rsidDel="00000000" w:rsidP="00000000" w:rsidRDefault="00000000" w:rsidRPr="00000000" w14:paraId="00000036">
      <w:pPr>
        <w:jc w:val="both"/>
        <w:rPr>
          <w:sz w:val="22"/>
          <w:szCs w:val="22"/>
        </w:rPr>
      </w:pPr>
      <w:r w:rsidDel="00000000" w:rsidR="00000000" w:rsidRPr="00000000">
        <w:rPr>
          <w:sz w:val="22"/>
          <w:szCs w:val="22"/>
          <w:rtl w:val="0"/>
        </w:rPr>
        <w:t xml:space="preserve">Οι προσφορές μπορούν να υποβληθούν από εξουσιοδοτημένο εκπρόσωπο ή ταχυδρομικά, αρκεί να διασφαλιστεί ότι θα έχουν παραληφθεί από το σχολείο μας μέχρι την παραπάνω ημερομηνία και ώρα. Οι προσφορές θα ανοιχτούν στο γραφείο του Διευθυντή από την επιτροπή αξιολόγησης αμέσως μετά τη λήξη της προθεσμίας και δίνεται η δυνατότητα στους ενδιαφερόμενους να παρίστανται στη διαδικασία. </w:t>
      </w:r>
    </w:p>
    <w:p w:rsidR="00000000" w:rsidDel="00000000" w:rsidP="00000000" w:rsidRDefault="00000000" w:rsidRPr="00000000" w14:paraId="00000037">
      <w:pPr>
        <w:jc w:val="both"/>
        <w:rPr>
          <w:sz w:val="22"/>
          <w:szCs w:val="22"/>
        </w:rPr>
      </w:pPr>
      <w:r w:rsidDel="00000000" w:rsidR="00000000" w:rsidRPr="00000000">
        <w:rPr>
          <w:color w:val="333333"/>
          <w:sz w:val="22"/>
          <w:szCs w:val="22"/>
          <w:highlight w:val="white"/>
          <w:rtl w:val="0"/>
        </w:rPr>
        <w:t xml:space="preserve">    </w:t>
      </w:r>
      <w:r w:rsidDel="00000000" w:rsidR="00000000" w:rsidRPr="00000000">
        <w:rPr>
          <w:sz w:val="22"/>
          <w:szCs w:val="22"/>
          <w:rtl w:val="0"/>
        </w:rPr>
        <w:t xml:space="preserve">Για τη σύνταξη της προσφοράς αυτής σας αναφέρουμε τα εξής:</w:t>
      </w:r>
    </w:p>
    <w:p w:rsidR="00000000" w:rsidDel="00000000" w:rsidP="00000000" w:rsidRDefault="00000000" w:rsidRPr="00000000" w14:paraId="00000038">
      <w:pPr>
        <w:jc w:val="both"/>
        <w:rPr>
          <w:sz w:val="22"/>
          <w:szCs w:val="22"/>
        </w:rPr>
      </w:pPr>
      <w:r w:rsidDel="00000000" w:rsidR="00000000" w:rsidRPr="00000000">
        <w:rPr>
          <w:rtl w:val="0"/>
        </w:rPr>
      </w:r>
    </w:p>
    <w:tbl>
      <w:tblPr>
        <w:tblStyle w:val="Table2"/>
        <w:tblW w:w="9826.0" w:type="dxa"/>
        <w:jc w:val="center"/>
        <w:tblLayout w:type="fixed"/>
        <w:tblLook w:val="0000"/>
      </w:tblPr>
      <w:tblGrid>
        <w:gridCol w:w="520"/>
        <w:gridCol w:w="4678"/>
        <w:gridCol w:w="4628"/>
        <w:tblGridChange w:id="0">
          <w:tblGrid>
            <w:gridCol w:w="520"/>
            <w:gridCol w:w="4678"/>
            <w:gridCol w:w="4628"/>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ΣΧΟΛΕΙΟ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ΓΕΝΙΚΟ ΛΥΚΕΙΟ ΜΕΣΟΠΟΤΑΜΙΑΣ</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ΠΡΟΟΡΙΣΜΟΣ/ΟΙ  -  ΗΜΕΡΟΜΗΝΙΑ ΑΝΑΧΩΡΗΣΗΣ ΚΑΙ ΕΠΙΣΤΡΟΦΉΣ</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ΝΑΥΠΛΙΟ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Τετάρτη 17- Σάββατο 20  ΑΠΡΙΛΙΟΥ 2024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ΠΡΟΒΛΕΠΟΜΕΝΟΣ ΑΡΙΘΜ. ΣΥΜΜΕΤΕΧΟΝΤΩΝ (μαθητές / καθηγητές)</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συνοδοί καθηγητές</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ΜΕΤΑΦΟΡΙΚΟ/Α ΜΕΣΟ/Α – ΠΡΟΣΘΕΤΕΣ ΠΡΟΔΙΑΓΡΑΦΕΣ</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Μετάβαση από Μεσοποταμία και επιστροφή οδικώς με ένα λεωφορείο</w:t>
            </w:r>
          </w:p>
          <w:p w:rsidR="00000000" w:rsidDel="00000000" w:rsidP="00000000" w:rsidRDefault="00000000" w:rsidRPr="00000000" w14:paraId="0000004A">
            <w:pPr>
              <w:jc w:val="both"/>
              <w:rPr>
                <w:sz w:val="20"/>
                <w:szCs w:val="20"/>
              </w:rPr>
            </w:pPr>
            <w:r w:rsidDel="00000000" w:rsidR="00000000" w:rsidRPr="00000000">
              <w:rPr>
                <w:sz w:val="20"/>
                <w:szCs w:val="20"/>
                <w:rtl w:val="0"/>
              </w:rPr>
              <w:t xml:space="preserve">Το λεωφορείο μετακίνησης θα πρέπει να διαθέτει κλιματισμό, μικροφωνική εγκατάσταση, φαρμακείο, ζώνες ασφαλείας και να πληροί τις νόμιμες προϋποθέσεις κυκλοφορίας. Θα προσκομισθούν στο σχολείο ασφαλιστήρια συμβόλαια του λεωφορείου, φωτοτυπία από την άδεια κυκλοφορίας, όπου και φαίνεται υποχρεωτικά αν υπάρχει σχετικός έλεγχος από τα ΚΤΕΟ</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ΚΑΤΗΓΟΡΙΑ ΚΑΤΑΛΥΜΑΤΟΣ- ΠΡΟΣΘΕΤΕΣ ΠΡΟΔΙΑΓΡΑΦΕΣ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(μονόκλινα/δίκλινα/τρίκλινα-ημιδιατροφή)</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Ξενοδοχεία 3 ή 4 * για 3 διανυκτερεύσεις μέσα στο Ναύπλιο ή στην ευρύτερη περιοχή (Τολό)</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Δωμάτια τρίκλινα ή τετράκλινα για μαθητές, μονόκλινα για συνοδούς</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Οπωσδήποτε πρωινό ή και ένα γεύμα</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ΛΟΙΠΕΣ ΥΠΗΡΕΣΙΕΣ (πρόγραμμα,παρακολούθηση εκδηλώσεων, επίσκεψη χώρων, κτλ.)</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rPr>
                <w:sz w:val="22"/>
                <w:szCs w:val="22"/>
              </w:rPr>
            </w:pPr>
            <w:r w:rsidDel="00000000" w:rsidR="00000000" w:rsidRPr="00000000">
              <w:rPr>
                <w:sz w:val="22"/>
                <w:szCs w:val="22"/>
                <w:rtl w:val="0"/>
              </w:rPr>
              <w:t xml:space="preserve">Τοπικές επισκέψεις (Επίδαυρο, Μυκήνες, Μπούρτζι, Σπέτσες) καθώς και περιηγήσεις- ξεναγήσεις </w:t>
            </w:r>
            <w:r w:rsidDel="00000000" w:rsidR="00000000" w:rsidRPr="00000000">
              <w:rPr>
                <w:sz w:val="22"/>
                <w:szCs w:val="22"/>
                <w:u w:val="single"/>
                <w:rtl w:val="0"/>
              </w:rPr>
              <w:t xml:space="preserve">με ξεναγό</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ΥΠΟΧΡΕΩΤΙΚΗ ΑΣΦΑΛΙΣΗ ΕΥΘΥΝΗΣ ΔΙΟΡΓΑΝΩΤΗ</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(μόνο εάν πρόκειται για πολυήμερη εκδρομή)</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ΝΑΙ</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ΠΡΟΣΘΕΤΗ ΠΡΟΑΙΡΕΤΙΚΗ ΑΣΦΑΛΙΣΗ ΚΑΛΥΨΗΣ ΕΞΟΔΩΝ ΣΕ ΠΕΡΙΠΤΩΣΗ ΑΤΥΧΗΜΑΤΟΣ Η΄ ΑΣΘΕΝΕΙΑΣκαι covid – 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(Σε περίπτωση που  το σχολείο επιθυμεί την πρόβλεψη της επιστροφής των χρημάτων σε μαθητή, αν για αποδεδειγμένους λόγους ανωτέρας βίας ή αιφνίδιας ασθένειας ματαιωθεί η συμμετοχή του, τότε θα πρέπει να ζητηθεί ρητά και να προβλεφθεί και η συγκεκριμένη απαίτηση, στην πρόσθετη προαιρετική ασφάλεια).</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ΝΑΙ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Σε περίπτωση που ματαιωθεί η συμμετοχή μαθητή ή μαθητών λόγω αποδεδειγμένης ανώτερης βίας ή αιφνίδιας ασθένειας, προβλέπεται η επιστροφή των αναλογούντων χρημάτων</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ΤΕΛΙΚΗ ΣΥΝΟΛΙΚΗ ΤΙΜΗ ΟΡΓΑΝΩΜΕΝΟΥ ΤΑΞΙΔΙΟΥ (συμπερ. ΦΠΑ)</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ΝΑΙ</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ΕΠΙΒΑΡΥΝΣΗ ΑΝΑ ΜΑΘΗΤΗ (συμπερ. ΦΠΑ)</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ΝΑΙ </w:t>
            </w:r>
          </w:p>
        </w:tc>
      </w:tr>
    </w:tbl>
    <w:p w:rsidR="00000000" w:rsidDel="00000000" w:rsidP="00000000" w:rsidRDefault="00000000" w:rsidRPr="00000000" w14:paraId="00000061">
      <w:pPr>
        <w:jc w:val="both"/>
        <w:rPr>
          <w:sz w:val="22"/>
          <w:szCs w:val="22"/>
        </w:rPr>
      </w:pPr>
      <w:r w:rsidDel="00000000" w:rsidR="00000000" w:rsidRPr="00000000">
        <w:rPr>
          <w:rtl w:val="0"/>
        </w:rPr>
      </w:r>
    </w:p>
    <w:p w:rsidR="00000000" w:rsidDel="00000000" w:rsidP="00000000" w:rsidRDefault="00000000" w:rsidRPr="00000000" w14:paraId="00000062">
      <w:pPr>
        <w:ind w:firstLine="720"/>
        <w:rPr>
          <w:sz w:val="22"/>
          <w:szCs w:val="22"/>
        </w:rPr>
      </w:pPr>
      <w:r w:rsidDel="00000000" w:rsidR="00000000" w:rsidRPr="00000000">
        <w:rPr>
          <w:sz w:val="22"/>
          <w:szCs w:val="22"/>
          <w:rtl w:val="0"/>
        </w:rPr>
        <w:t xml:space="preserve">Στο φάκελο της προσφοράς θα υπάρχει φωτοτυπία της άδειας λειτουργίας γραφείου γενικού τουρισμού του ενδιαφερομένου. </w:t>
      </w:r>
    </w:p>
    <w:p w:rsidR="00000000" w:rsidDel="00000000" w:rsidP="00000000" w:rsidRDefault="00000000" w:rsidRPr="00000000" w14:paraId="00000063">
      <w:pPr>
        <w:jc w:val="both"/>
        <w:rPr>
          <w:b w:val="1"/>
          <w:sz w:val="22"/>
          <w:szCs w:val="22"/>
        </w:rPr>
      </w:pPr>
      <w:r w:rsidDel="00000000" w:rsidR="00000000" w:rsidRPr="00000000">
        <w:rPr>
          <w:rtl w:val="0"/>
        </w:rPr>
      </w:r>
    </w:p>
    <w:p w:rsidR="00000000" w:rsidDel="00000000" w:rsidP="00000000" w:rsidRDefault="00000000" w:rsidRPr="00000000" w14:paraId="00000064">
      <w:pPr>
        <w:jc w:val="both"/>
        <w:rPr>
          <w:sz w:val="22"/>
          <w:szCs w:val="22"/>
        </w:rPr>
      </w:pPr>
      <w:r w:rsidDel="00000000" w:rsidR="00000000" w:rsidRPr="00000000">
        <w:rPr>
          <w:b w:val="1"/>
          <w:sz w:val="22"/>
          <w:szCs w:val="22"/>
          <w:rtl w:val="0"/>
        </w:rPr>
        <w:t xml:space="preserve">Το πρακτορείο που θα επιλεγεί θα ενημερωθεί με τηλεφωνική επικοινωνία.</w:t>
      </w:r>
      <w:r w:rsidDel="00000000" w:rsidR="00000000" w:rsidRPr="00000000">
        <w:rPr>
          <w:rtl w:val="0"/>
        </w:rPr>
      </w:r>
    </w:p>
    <w:p w:rsidR="00000000" w:rsidDel="00000000" w:rsidP="00000000" w:rsidRDefault="00000000" w:rsidRPr="00000000" w14:paraId="00000065">
      <w:pPr>
        <w:ind w:right="0"/>
        <w:jc w:val="both"/>
        <w:rPr/>
      </w:pPr>
      <w:r w:rsidDel="00000000" w:rsidR="00000000" w:rsidRPr="00000000">
        <w:rPr>
          <w:rtl w:val="0"/>
        </w:rPr>
      </w:r>
    </w:p>
    <w:p w:rsidR="00000000" w:rsidDel="00000000" w:rsidP="00000000" w:rsidRDefault="00000000" w:rsidRPr="00000000" w14:paraId="00000066">
      <w:pPr>
        <w:ind w:left="1440" w:right="0" w:firstLine="720"/>
        <w:rPr>
          <w:b w:val="1"/>
        </w:rPr>
      </w:pPr>
      <w:r w:rsidDel="00000000" w:rsidR="00000000" w:rsidRPr="00000000">
        <w:rPr>
          <w:rtl w:val="0"/>
        </w:rPr>
      </w:r>
    </w:p>
    <w:p w:rsidR="00000000" w:rsidDel="00000000" w:rsidP="00000000" w:rsidRDefault="00000000" w:rsidRPr="00000000" w14:paraId="00000067">
      <w:pPr>
        <w:ind w:left="3600" w:right="0" w:firstLine="720"/>
        <w:rPr>
          <w:b w:val="1"/>
        </w:rPr>
      </w:pPr>
      <w:r w:rsidDel="00000000" w:rsidR="00000000" w:rsidRPr="00000000">
        <w:rPr>
          <w:b w:val="1"/>
          <w:rtl w:val="0"/>
        </w:rPr>
        <w:t xml:space="preserve">  Ο Διευθυντής του ΓΕΛ ΜΕΣΟΠΟΤΑΜΙΑΣ    </w:t>
      </w:r>
    </w:p>
    <w:p w:rsidR="00000000" w:rsidDel="00000000" w:rsidP="00000000" w:rsidRDefault="00000000" w:rsidRPr="00000000" w14:paraId="00000068">
      <w:pPr>
        <w:ind w:left="1440" w:right="0" w:firstLine="720"/>
        <w:rPr>
          <w:b w:val="1"/>
        </w:rPr>
      </w:pPr>
      <w:r w:rsidDel="00000000" w:rsidR="00000000" w:rsidRPr="00000000">
        <w:rPr>
          <w:rtl w:val="0"/>
        </w:rPr>
      </w:r>
    </w:p>
    <w:p w:rsidR="00000000" w:rsidDel="00000000" w:rsidP="00000000" w:rsidRDefault="00000000" w:rsidRPr="00000000" w14:paraId="00000069">
      <w:pPr>
        <w:ind w:left="1440" w:right="0" w:firstLine="720"/>
        <w:rPr>
          <w:b w:val="1"/>
        </w:rPr>
      </w:pPr>
      <w:r w:rsidDel="00000000" w:rsidR="00000000" w:rsidRPr="00000000">
        <w:rPr>
          <w:b w:val="1"/>
          <w:rtl w:val="0"/>
        </w:rPr>
        <w:t xml:space="preserve">    </w:t>
      </w:r>
    </w:p>
    <w:p w:rsidR="00000000" w:rsidDel="00000000" w:rsidP="00000000" w:rsidRDefault="00000000" w:rsidRPr="00000000" w14:paraId="0000006A">
      <w:pPr>
        <w:ind w:right="0"/>
        <w:jc w:val="both"/>
        <w:rPr>
          <w:b w:val="1"/>
        </w:rPr>
      </w:pPr>
      <w:r w:rsidDel="00000000" w:rsidR="00000000" w:rsidRPr="00000000">
        <w:rPr>
          <w:b w:val="1"/>
          <w:rtl w:val="0"/>
        </w:rPr>
        <w:t xml:space="preserve"> </w:t>
        <w:tab/>
        <w:tab/>
        <w:tab/>
        <w:tab/>
        <w:tab/>
        <w:t xml:space="preserve">       </w:t>
      </w:r>
    </w:p>
    <w:p w:rsidR="00000000" w:rsidDel="00000000" w:rsidP="00000000" w:rsidRDefault="00000000" w:rsidRPr="00000000" w14:paraId="0000006B">
      <w:pPr>
        <w:ind w:right="0"/>
        <w:rPr/>
      </w:pPr>
      <w:r w:rsidDel="00000000" w:rsidR="00000000" w:rsidRPr="00000000">
        <w:rPr>
          <w:b w:val="1"/>
          <w:rtl w:val="0"/>
        </w:rPr>
        <w:t xml:space="preserve">           </w:t>
        <w:tab/>
        <w:tab/>
        <w:tab/>
        <w:tab/>
        <w:tab/>
        <w:tab/>
        <w:t xml:space="preserve">Παπαναγνώστου Παναγιώτης                                                   </w:t>
      </w:r>
      <w:r w:rsidDel="00000000" w:rsidR="00000000" w:rsidRPr="00000000">
        <w:rPr>
          <w:rtl w:val="0"/>
        </w:rPr>
      </w:r>
    </w:p>
    <w:sectPr>
      <w:pgSz w:h="16838" w:w="11906" w:orient="portrait"/>
      <w:pgMar w:bottom="851" w:top="0"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0"/>
    </w:pPr>
    <w:rPr>
      <w:b w:val="1"/>
    </w:rPr>
  </w:style>
  <w:style w:type="paragraph" w:styleId="Heading2">
    <w:name w:val="heading 2"/>
    <w:basedOn w:val="Normal"/>
    <w:next w:val="Normal"/>
    <w:pPr>
      <w:keepNext w:val="1"/>
      <w:ind w:right="0"/>
      <w:jc w:val="both"/>
    </w:pPr>
    <w:rPr>
      <w:rFonts w:ascii="Times New Roman" w:cs="Times New Roman" w:eastAsia="Times New Roman" w:hAnsi="Times New Roman"/>
      <w:b w:val="1"/>
    </w:rPr>
  </w:style>
  <w:style w:type="paragraph" w:styleId="Heading3">
    <w:name w:val="heading 3"/>
    <w:basedOn w:val="Normal"/>
    <w:next w:val="Normal"/>
    <w:pPr>
      <w:keepNext w:val="1"/>
      <w:spacing w:line="360" w:lineRule="auto"/>
      <w:ind w:left="-108"/>
      <w:jc w:val="center"/>
    </w:pPr>
    <w:rPr>
      <w:b w:val="1"/>
    </w:rPr>
  </w:style>
  <w:style w:type="paragraph" w:styleId="Heading4">
    <w:name w:val="heading 4"/>
    <w:basedOn w:val="Normal"/>
    <w:next w:val="Normal"/>
    <w:pPr>
      <w:keepNext w:val="1"/>
      <w:ind w:right="0"/>
      <w:jc w:val="center"/>
    </w:pPr>
    <w:rPr>
      <w:b w:val="1"/>
      <w:sz w:val="28"/>
      <w:szCs w:val="28"/>
      <w:u w:val="single"/>
    </w:rPr>
  </w:style>
  <w:style w:type="paragraph" w:styleId="Heading5">
    <w:name w:val="heading 5"/>
    <w:basedOn w:val="Normal"/>
    <w:next w:val="Normal"/>
    <w:pPr>
      <w:keepNext w:val="1"/>
      <w:ind w:right="0"/>
      <w:jc w:val="both"/>
    </w:pPr>
    <w:rPr>
      <w:b w:val="1"/>
      <w:sz w:val="28"/>
      <w:szCs w:val="28"/>
      <w:u w:val="single"/>
    </w:rPr>
  </w:style>
  <w:style w:type="paragraph" w:styleId="Heading6">
    <w:name w:val="heading 6"/>
    <w:basedOn w:val="Normal"/>
    <w:next w:val="Normal"/>
    <w:pPr>
      <w:keepNext w:val="1"/>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A42C3"/>
    <w:rPr>
      <w:rFonts w:ascii="Arial" w:hAnsi="Arial"/>
      <w:sz w:val="24"/>
    </w:rPr>
  </w:style>
  <w:style w:type="paragraph" w:styleId="1">
    <w:name w:val="heading 1"/>
    <w:basedOn w:val="a"/>
    <w:next w:val="a"/>
    <w:qFormat w:val="1"/>
    <w:rsid w:val="00FA42C3"/>
    <w:pPr>
      <w:keepNext w:val="1"/>
      <w:ind w:right="-1"/>
      <w:outlineLvl w:val="0"/>
    </w:pPr>
    <w:rPr>
      <w:b w:val="1"/>
    </w:rPr>
  </w:style>
  <w:style w:type="paragraph" w:styleId="2">
    <w:name w:val="heading 2"/>
    <w:basedOn w:val="a"/>
    <w:next w:val="a"/>
    <w:qFormat w:val="1"/>
    <w:rsid w:val="00FA42C3"/>
    <w:pPr>
      <w:keepNext w:val="1"/>
      <w:ind w:right="-1"/>
      <w:jc w:val="both"/>
      <w:outlineLvl w:val="1"/>
    </w:pPr>
    <w:rPr>
      <w:rFonts w:ascii="Times New Roman" w:hAnsi="Times New Roman"/>
      <w:b w:val="1"/>
    </w:rPr>
  </w:style>
  <w:style w:type="paragraph" w:styleId="3">
    <w:name w:val="heading 3"/>
    <w:basedOn w:val="a"/>
    <w:next w:val="a"/>
    <w:qFormat w:val="1"/>
    <w:rsid w:val="00FA42C3"/>
    <w:pPr>
      <w:keepNext w:val="1"/>
      <w:spacing w:line="360" w:lineRule="auto"/>
      <w:ind w:left="-108"/>
      <w:jc w:val="center"/>
      <w:outlineLvl w:val="2"/>
    </w:pPr>
    <w:rPr>
      <w:b w:val="1"/>
    </w:rPr>
  </w:style>
  <w:style w:type="paragraph" w:styleId="4">
    <w:name w:val="heading 4"/>
    <w:basedOn w:val="a"/>
    <w:next w:val="a"/>
    <w:qFormat w:val="1"/>
    <w:rsid w:val="00FA42C3"/>
    <w:pPr>
      <w:keepNext w:val="1"/>
      <w:ind w:right="-1"/>
      <w:jc w:val="center"/>
      <w:outlineLvl w:val="3"/>
    </w:pPr>
    <w:rPr>
      <w:rFonts w:cs="Arial"/>
      <w:b w:val="1"/>
      <w:sz w:val="28"/>
      <w:u w:val="single"/>
    </w:rPr>
  </w:style>
  <w:style w:type="paragraph" w:styleId="5">
    <w:name w:val="heading 5"/>
    <w:basedOn w:val="a"/>
    <w:next w:val="a"/>
    <w:qFormat w:val="1"/>
    <w:rsid w:val="00FA42C3"/>
    <w:pPr>
      <w:keepNext w:val="1"/>
      <w:ind w:right="-1"/>
      <w:jc w:val="both"/>
      <w:outlineLvl w:val="4"/>
    </w:pPr>
    <w:rPr>
      <w:b w:val="1"/>
      <w:bCs w:val="1"/>
      <w:sz w:val="28"/>
      <w:u w:val="single"/>
    </w:rPr>
  </w:style>
  <w:style w:type="paragraph" w:styleId="6">
    <w:name w:val="heading 6"/>
    <w:basedOn w:val="a"/>
    <w:next w:val="a"/>
    <w:qFormat w:val="1"/>
    <w:rsid w:val="00FA42C3"/>
    <w:pPr>
      <w:keepNext w:val="1"/>
      <w:outlineLvl w:val="5"/>
    </w:pPr>
    <w:rPr>
      <w:b w:val="1"/>
      <w:bCs w:val="1"/>
    </w:rPr>
  </w:style>
  <w:style w:type="paragraph" w:styleId="8">
    <w:name w:val="heading 8"/>
    <w:basedOn w:val="a"/>
    <w:next w:val="a"/>
    <w:qFormat w:val="1"/>
    <w:rsid w:val="00D86D75"/>
    <w:pPr>
      <w:spacing w:after="60" w:before="240"/>
      <w:outlineLvl w:val="7"/>
    </w:pPr>
    <w:rPr>
      <w:rFonts w:ascii="Times New Roman" w:hAnsi="Times New Roman"/>
      <w:i w:val="1"/>
      <w:iCs w:val="1"/>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Indent"/>
    <w:basedOn w:val="a"/>
    <w:rsid w:val="00FA42C3"/>
    <w:pPr>
      <w:ind w:right="-1" w:firstLine="720"/>
      <w:jc w:val="both"/>
    </w:pPr>
    <w:rPr>
      <w:rFonts w:ascii="Times New Roman" w:hAnsi="Times New Roman"/>
      <w:bCs w:val="1"/>
      <w:sz w:val="28"/>
    </w:rPr>
  </w:style>
  <w:style w:type="paragraph" w:styleId="a4">
    <w:name w:val="Body Text"/>
    <w:basedOn w:val="a"/>
    <w:rsid w:val="00FA42C3"/>
    <w:pPr>
      <w:ind w:right="-1"/>
      <w:jc w:val="both"/>
    </w:pPr>
    <w:rPr>
      <w:rFonts w:cs="Arial"/>
      <w:bCs w:val="1"/>
      <w:sz w:val="28"/>
    </w:rPr>
  </w:style>
  <w:style w:type="paragraph" w:styleId="20">
    <w:name w:val="Body Text 2"/>
    <w:basedOn w:val="a"/>
    <w:rsid w:val="00FA42C3"/>
    <w:pPr>
      <w:ind w:right="-1"/>
      <w:jc w:val="both"/>
    </w:pPr>
    <w:rPr>
      <w:rFonts w:cs="Arial"/>
      <w:bCs w:val="1"/>
    </w:rPr>
  </w:style>
  <w:style w:type="paragraph" w:styleId="a5">
    <w:name w:val="Balloon Text"/>
    <w:basedOn w:val="a"/>
    <w:semiHidden w:val="1"/>
    <w:rsid w:val="00A15F25"/>
    <w:rPr>
      <w:rFonts w:ascii="Tahoma" w:cs="Tahoma" w:hAnsi="Tahoma"/>
      <w:sz w:val="16"/>
      <w:szCs w:val="16"/>
    </w:rPr>
  </w:style>
  <w:style w:type="paragraph" w:styleId="a6" w:customStyle="1">
    <w:name w:val="Περιεχόμενα πίνακα"/>
    <w:basedOn w:val="a"/>
    <w:rsid w:val="00403B35"/>
    <w:pPr>
      <w:suppressLineNumbers w:val="1"/>
      <w:suppressAutoHyphens w:val="1"/>
    </w:pPr>
    <w:rPr>
      <w:rFonts w:ascii="Times New Roman" w:hAnsi="Times New Roman"/>
      <w:sz w:val="20"/>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kOL4jp+EI2J24LJ+o7stiLhJBw==">CgMxLjA4AHIhMUZEQ3dRVjBTaVNfVHJiNm5QMFJFaEJ5a2NjbEMzMVlS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2024-02-02T09:59:00Z</dcterms:created>
  <dc:creator>ΛΥΚΕΙΟ ΜΕΣΟΠΟΤΑΜΙΑΣ</dc:creator>
</cp:coreProperties>
</file>